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161 vom 26. Februar 2024</w:t>
      </w:r>
    </w:p>
    <w:p>
      <w:r>
        <w:t>BE Verwaltungsgericht, 2024-02-26, DE</w:t>
      </w:r>
    </w:p>
    <w:p>
      <w:r>
        <w:rPr>
          <w:b/>
        </w:rPr>
        <w:t xml:space="preserve">Quelle: </w:t>
      </w:r>
      <w:r>
        <w:t>https://mcp.opencaselaw.ch/entscheid/be_verwaltungsgericht_100 2022 161</w:t>
      </w:r>
    </w:p>
    <w:p>
      <w:r>
        <w:t>FR: BE_VERWALTUNGSGERICHT 100 2022 161 du 26 février 2024</w:t>
      </w:r>
    </w:p>
    <w:p>
      <w:r>
        <w:t>IT: BE_VERWALTUNGSGERICHT 100 2022 161 del 26 febbraio 2024</w:t>
      </w:r>
    </w:p>
    <w:p>
      <w:pPr>
        <w:pStyle w:val="Heading2"/>
      </w:pPr>
      <w:r>
        <w:t>Erwägungen</w:t>
      </w:r>
    </w:p>
    <w:p>
      <w:r>
        <w:rPr>
          <w:b/>
        </w:rPr>
        <w:t>E. 1.1</w:t>
      </w:r>
    </w:p>
    <w:p>
      <w:r>
        <w:t>Angefochten sind zwei Verfügungen der Reformierten Kirchen Bern- Jura-Solothurn in personalrechtlichen Angelegenheiten. Das Verwaltungs- gericht ist zur Beurteilung der Beschwerden als letzte kantonale Instanz ge- mäss Art. 74 Abs. 1 sowie Art. 76 und 77 des Gesetzes vom 23. Mai 1989 über die Verwaltungsrechtspflege (VRPG; BSG 155.21) zuständig (vgl. VGE 2021/1 vom 7.4.2022 E. 1.1). Der Beschwerdeführer hat an den vor- instanzlichen Verfahren teilgenommen, ist durch die angefochtenen Verfü- gungen besonders berührt und hat grundsätzlich ein schutzwürdiges Inte- resse an deren Aufhebung oder Änderung (Art. 79 Abs. 1 VRPG; vgl. aber E. 1.2 hiernach).</w:t>
      </w:r>
    </w:p>
    <w:p>
      <w:r>
        <w:rPr>
          <w:b/>
        </w:rPr>
        <w:t>E. 1.2</w:t>
      </w:r>
    </w:p>
    <w:p>
      <w:r>
        <w:t>Zu klären ist vorab das Thema im Verfahren 100.2022.207 (Kündi- gung):</w:t>
      </w:r>
    </w:p>
    <w:p>
      <w:r>
        <w:rPr>
          <w:b/>
        </w:rPr>
        <w:t>E. 1.2.1</w:t>
      </w:r>
    </w:p>
    <w:p>
      <w:r>
        <w:t>Das Verfahren vor dem Verwaltungsgericht ist auf den Streitgegen- stand beschränkt. Ausgangspunkt für dessen Bestimmung bildet der ange- fochtene Entscheid bzw. die angefochtene Verfügung, das sog. Anfech- tungsobjekt. Dieses gibt den Rahmen des Streitgegenstands vor (BVR 2020 S. 59 E. 2.2; Ruth Herzog, in Herzog/Daum [Hrsg.], Kommentar zum berni- schen VRPG, 2. Aufl. 2020, Art. 84 N. 5), der sich im Verlauf des Verfahrens</w:t>
      </w:r>
    </w:p>
    <w:p>
      <w:r>
        <w:t>Urteil des Verwaltungsgerichts des Kantons Bern vom 26.02.2024, Nr. 100.2022.161/207U, Seite 4 grundsätzlich nicht erweitern kann (Michel Daum, in Herzog/Daum [Hrsg.], Kommentar zum bernischen VRPG, 2. Aufl. 2020, Art. 20a N. 5 sowie N. 24 ff. zu den Ausnahmen). Streitgegenstand des an die Kündigungsver- fügung anschliessenden Verwaltungsjustizverfahrens ist ausschliesslich die Rechtmässigkeit der Kündigung. Die beschwerdeführende Person kann da- bei nach ständiger Rechtsprechung zum öffentlichen Dienstrecht einzig die Aufhebung der Verfügung und in der Folge ihre Weiterbeschäftigung – hier für einen beschränkten Zeitraum von drei Monaten (vorne Bst. A) – verlan- gen (vgl. VGE 2020/368 vom 11.11.2022 E. 1.2, 2018/59 vom 27.3.2019 E. 1.2 mit Hinweis auf BVR 2011 S. 391 E. 2.2 [bestätigt durch BGer 8C_809/2010 vom 18.2.2011], 2010 S. 337 E. 5.2 ff.). Weder das Ge- setz vom 21. März 2018 über die bernischen Landeskirchen (Landeskirchen- gesetz, LKG; BSG 410.11) noch das Personalreglement der Reformierten Kirchen Bern-Jura-Solothurn vom 29. Mai 2018 für die Pfarrschaft ([PRP; KES 41.010; einsehbar unter: &lt;www.refbejuso.ch&gt;, Rubrik «Publikationen/ Erlasssammlung KES]) sehen in dieser Hinsicht etwas anderes vor.</w:t>
      </w:r>
    </w:p>
    <w:p>
      <w:r>
        <w:rPr>
          <w:b/>
        </w:rPr>
        <w:t>E. 1.2.2</w:t>
      </w:r>
    </w:p>
    <w:p>
      <w:r>
        <w:t>Soweit der Beschwerdeführer verlangt, es seien ihm eine Sonder- rente, eine Abgangsentschädigung sowie Schadenersatz und Genugtuung bzw. Schmerzensgeld zuzusprechen (Rechtsbegehren 1, 2 und 5; vorne Bst. B), ist auf die Beschwerde nicht einzutreten. Über derartige Entschädi- gungsfolgen wäre in einem dem Kündigungsverfahren nachgelagerten se- paraten Verfahren zu befinden (BVR 2012 S. 433 E. 2.2, 2011 S. 391 E. 2.2 f. und 3.2; VGE 2020/280 vom 16.2.2021 E. 1.2, 2018/180 vom 2.7.2019 E. 1.3). Ausserhalb des Streitgegenstands liegt auch das Rechts- begehren 4 (vorne Bst. B), da die angefochtene Verfügung kein Zwischen- zeugnis zum Gegenstand hat; in diesem Punkt ist auf die Beschwerde eben- falls nicht einzutreten. Es erübrigt sich daher, auf die weiteren verfahrens- rechtlichen Fragen einzugehen, die der Beschwerdeführer in diesem Zusam- menhang aufwirft (insb. Zulässigkeit eines Sprungrekurses; vgl. Beschwerde S. 17 f.).</w:t>
      </w:r>
    </w:p>
    <w:p>
      <w:r>
        <w:rPr>
          <w:b/>
        </w:rPr>
        <w:t>E. 1.3</w:t>
      </w:r>
    </w:p>
    <w:p>
      <w:r>
        <w:t>Beide Beschwerden sind fristgerecht erhoben worden. Daneben müssen sie unter anderem einen Antrag und eine Begründung enthalten (Form; Art. 81 Abs. 1 i.V.m. Art. 32 Abs. 2 VRPG). Dem Antragserfordernis ist Genüge getan, wenn sich aus dem Zusammenhang und unter Zuhilfen-</w:t>
      </w:r>
    </w:p>
    <w:p>
      <w:r>
        <w:t>Urteil des Verwaltungsgerichts des Kantons Bern vom 26.02.2024, Nr. 100.2022.161/207U, Seite 5 ahme der Begründung sinngemäss ergibt, was anbegehrt wird (vgl. BVR 2016 S. 560 E. 2, 2015 S. 468 E. 4.2; Michel Daum, a.a.O., Art. 32 N. 18). – Anders als im Verfahren 100.2022.161 (Gehaltskürzung) beantragt der Beschwerdeführer im Verfahren 100.2022.207 (Kündigung) nicht aus- drücklich, die angefochtene Verfügung sei aufzuheben. Der Beschwerde kann aber unter Beizug der Begründung entnommen werden, dass er sich gegen die Kündigung wehrt und die Aufhebung der Kündigungsverfügung verlangt. Insoweit genügt (auch) diese Beschwerde den Formvorschriften.</w:t>
      </w:r>
    </w:p>
    <w:p>
      <w:r>
        <w:rPr>
          <w:b/>
        </w:rPr>
        <w:t>E. 1.4</w:t>
      </w:r>
    </w:p>
    <w:p>
      <w:r>
        <w:t>Auf die Beschwerde im Verfahren 100.2022.161 (Gehaltskürzung) ist somit in allen Teilen und auf die Beschwerde im Verfahren 100.2022.207 (Kündigung) mit den vorgenannten Einschränkungen einzutreten.</w:t>
      </w:r>
    </w:p>
    <w:p>
      <w:r>
        <w:rPr>
          <w:b/>
        </w:rPr>
        <w:t>E. 1.5</w:t>
      </w:r>
    </w:p>
    <w:p>
      <w:r>
        <w:t>Da beiden Verfahren der gleiche Lebenssachverhalt zugrunde liegt, rechtfertigt es sich, sie zu vereinigen (Art. 17 Abs. 1 VRPG; Michel Daum, a.a.O., Art. 17 N. 6).</w:t>
      </w:r>
    </w:p>
    <w:p>
      <w:r>
        <w:rPr>
          <w:b/>
        </w:rPr>
        <w:t>E. 1.6</w:t>
      </w:r>
    </w:p>
    <w:p>
      <w:r>
        <w:t>Das Verwaltungsgericht überprüft die angefochtenen Verfügungen auf Rechtsverletzungen hin (Art. 80 Bst. a und b VRPG).</w:t>
      </w:r>
    </w:p>
    <w:p>
      <w:r>
        <w:rPr>
          <w:b/>
        </w:rPr>
        <w:t>E. 2</w:t>
      </w:r>
    </w:p>
    <w:p>
      <w:r>
        <w:t>Der unbestrittene Sachverhalt stellt sich wie folgt dar:</w:t>
      </w:r>
    </w:p>
    <w:p>
      <w:r>
        <w:rPr>
          <w:b/>
        </w:rPr>
        <w:t>E. 2.1</w:t>
      </w:r>
    </w:p>
    <w:p>
      <w:r>
        <w:t>Der Beschwerdeführer trat am 1. Oktober 2020 eine Stelle als Regi- onalpfarrer für das Regionalpfarramt B.________ an. Sein Be- schäftigungsgrad betrug zunächst 30 % und wurde per 1. März 2021 auf 100 % erhöht (vgl. Arbeitsvertrag vom 28.10.2020 [Vorakten pag. 37 f.]). Während seiner Anstellung war er wie folgt krankgeschrieben (Vorakten pag. 68 ff.): – 25. Mai bis 31. August 2021 50 %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